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收 费 标 准</w:t>
      </w:r>
    </w:p>
    <w:p>
      <w:pPr>
        <w:spacing w:line="360" w:lineRule="auto"/>
      </w:pPr>
    </w:p>
    <w:p>
      <w:pPr>
        <w:pStyle w:val="10"/>
        <w:numPr>
          <w:ilvl w:val="0"/>
          <w:numId w:val="1"/>
        </w:numPr>
        <w:snapToGrid w:val="0"/>
        <w:spacing w:line="360" w:lineRule="auto"/>
        <w:ind w:firstLineChars="0"/>
        <w:rPr>
          <w:sz w:val="24"/>
          <w:szCs w:val="24"/>
        </w:rPr>
      </w:pPr>
      <w:r>
        <w:rPr>
          <w:sz w:val="24"/>
          <w:szCs w:val="24"/>
        </w:rPr>
        <w:t>目的与使用范围</w:t>
      </w:r>
    </w:p>
    <w:p>
      <w:pPr>
        <w:snapToGrid w:val="0"/>
        <w:spacing w:line="360" w:lineRule="auto"/>
        <w:ind w:firstLine="480" w:firstLineChars="200"/>
        <w:rPr>
          <w:sz w:val="24"/>
          <w:szCs w:val="24"/>
        </w:rPr>
      </w:pPr>
      <w:r>
        <w:rPr>
          <w:rFonts w:hint="eastAsia"/>
          <w:sz w:val="24"/>
          <w:szCs w:val="24"/>
        </w:rPr>
        <w:t>为加强对认证组织认证收费的管理，规范认证收费行为，保护认证双方的利益，促进认证工作的发展，特制订收费标准。本标准适用于砺鼎认证/</w:t>
      </w:r>
      <w:r>
        <w:rPr>
          <w:sz w:val="24"/>
          <w:szCs w:val="24"/>
        </w:rPr>
        <w:t>LEADING所开展的认证</w:t>
      </w:r>
      <w:r>
        <w:rPr>
          <w:rFonts w:hint="eastAsia"/>
          <w:sz w:val="24"/>
          <w:szCs w:val="24"/>
        </w:rPr>
        <w:t>服务</w:t>
      </w:r>
      <w:r>
        <w:rPr>
          <w:sz w:val="24"/>
          <w:szCs w:val="24"/>
        </w:rPr>
        <w:t>收费</w:t>
      </w:r>
      <w:r>
        <w:rPr>
          <w:rFonts w:hint="eastAsia"/>
          <w:sz w:val="24"/>
          <w:szCs w:val="24"/>
        </w:rPr>
        <w:t>标准。</w:t>
      </w:r>
    </w:p>
    <w:p>
      <w:pPr>
        <w:snapToGrid w:val="0"/>
        <w:spacing w:line="360" w:lineRule="auto"/>
        <w:rPr>
          <w:sz w:val="24"/>
          <w:szCs w:val="24"/>
        </w:rPr>
      </w:pPr>
    </w:p>
    <w:p>
      <w:pPr>
        <w:pStyle w:val="10"/>
        <w:numPr>
          <w:ilvl w:val="0"/>
          <w:numId w:val="1"/>
        </w:numPr>
        <w:snapToGrid w:val="0"/>
        <w:spacing w:line="360" w:lineRule="auto"/>
        <w:ind w:firstLineChars="0"/>
        <w:rPr>
          <w:sz w:val="24"/>
          <w:szCs w:val="24"/>
        </w:rPr>
      </w:pPr>
      <w:r>
        <w:rPr>
          <w:sz w:val="24"/>
          <w:szCs w:val="24"/>
        </w:rPr>
        <w:t>基本原则</w:t>
      </w:r>
    </w:p>
    <w:p>
      <w:pPr>
        <w:snapToGrid w:val="0"/>
        <w:spacing w:line="360" w:lineRule="auto"/>
        <w:ind w:firstLine="480" w:firstLineChars="200"/>
        <w:rPr>
          <w:sz w:val="24"/>
          <w:szCs w:val="24"/>
        </w:rPr>
      </w:pPr>
      <w:r>
        <w:rPr>
          <w:rFonts w:hint="eastAsia"/>
          <w:sz w:val="24"/>
          <w:szCs w:val="24"/>
        </w:rPr>
        <w:t>收费项目和标准按照国家有关主管部门的规定制订。认证审核的工作量</w:t>
      </w:r>
      <w:r>
        <w:rPr>
          <w:sz w:val="24"/>
          <w:szCs w:val="24"/>
        </w:rPr>
        <w:t>(人日数) 根据申请认证组织的规模、认证领域数量和专业特性等按国际准则及国家主管部门有关要求确定。</w:t>
      </w:r>
    </w:p>
    <w:p>
      <w:pPr>
        <w:snapToGrid w:val="0"/>
        <w:spacing w:line="360" w:lineRule="auto"/>
        <w:rPr>
          <w:sz w:val="24"/>
          <w:szCs w:val="24"/>
        </w:rPr>
      </w:pPr>
    </w:p>
    <w:p>
      <w:pPr>
        <w:snapToGrid w:val="0"/>
        <w:spacing w:line="360" w:lineRule="auto"/>
        <w:rPr>
          <w:sz w:val="24"/>
          <w:szCs w:val="24"/>
        </w:rPr>
      </w:pPr>
      <w:r>
        <w:rPr>
          <w:rFonts w:hint="eastAsia"/>
          <w:sz w:val="24"/>
          <w:szCs w:val="24"/>
        </w:rPr>
        <w:t>3</w:t>
      </w:r>
      <w:r>
        <w:rPr>
          <w:sz w:val="24"/>
          <w:szCs w:val="24"/>
        </w:rPr>
        <w:t>.  收费项目与标准</w:t>
      </w:r>
    </w:p>
    <w:p>
      <w:pPr>
        <w:snapToGrid w:val="0"/>
        <w:spacing w:line="360" w:lineRule="auto"/>
        <w:rPr>
          <w:sz w:val="24"/>
          <w:szCs w:val="24"/>
        </w:rPr>
      </w:pPr>
      <w:r>
        <w:rPr>
          <w:sz w:val="24"/>
          <w:szCs w:val="24"/>
        </w:rPr>
        <w:t>3.1  认证收费项目</w:t>
      </w:r>
    </w:p>
    <w:p>
      <w:pPr>
        <w:pStyle w:val="10"/>
        <w:numPr>
          <w:ilvl w:val="0"/>
          <w:numId w:val="2"/>
        </w:numPr>
        <w:snapToGrid w:val="0"/>
        <w:spacing w:line="360" w:lineRule="auto"/>
        <w:ind w:firstLineChars="0"/>
        <w:rPr>
          <w:sz w:val="24"/>
          <w:szCs w:val="24"/>
        </w:rPr>
      </w:pPr>
      <w:r>
        <w:rPr>
          <w:sz w:val="24"/>
          <w:szCs w:val="24"/>
        </w:rPr>
        <w:t>申请费: 初次认证、再认证、增加认证领域、变更认证范围等的申请费用;</w:t>
      </w:r>
    </w:p>
    <w:p>
      <w:pPr>
        <w:pStyle w:val="10"/>
        <w:numPr>
          <w:ilvl w:val="0"/>
          <w:numId w:val="2"/>
        </w:numPr>
        <w:snapToGrid w:val="0"/>
        <w:spacing w:line="360" w:lineRule="auto"/>
        <w:ind w:firstLineChars="0"/>
        <w:rPr>
          <w:sz w:val="24"/>
          <w:szCs w:val="24"/>
        </w:rPr>
      </w:pPr>
      <w:r>
        <w:rPr>
          <w:sz w:val="24"/>
          <w:szCs w:val="24"/>
        </w:rPr>
        <w:t>审核费: 初审、监督、再认证、特殊审核等审核活动所发生的费用:</w:t>
      </w:r>
    </w:p>
    <w:p>
      <w:pPr>
        <w:pStyle w:val="10"/>
        <w:numPr>
          <w:ilvl w:val="0"/>
          <w:numId w:val="2"/>
        </w:numPr>
        <w:snapToGrid w:val="0"/>
        <w:spacing w:line="360" w:lineRule="auto"/>
        <w:ind w:firstLineChars="0"/>
        <w:rPr>
          <w:sz w:val="24"/>
          <w:szCs w:val="24"/>
        </w:rPr>
      </w:pPr>
      <w:r>
        <w:rPr>
          <w:sz w:val="24"/>
          <w:szCs w:val="24"/>
        </w:rPr>
        <w:t>批准与注册费</w:t>
      </w:r>
      <w:r>
        <w:rPr>
          <w:rFonts w:hint="eastAsia"/>
          <w:sz w:val="24"/>
          <w:szCs w:val="24"/>
        </w:rPr>
        <w:t>（</w:t>
      </w:r>
      <w:r>
        <w:rPr>
          <w:sz w:val="24"/>
          <w:szCs w:val="24"/>
        </w:rPr>
        <w:t>含证书费): 初次认证、再认证、认证变更等的批准与注册费用，按不同认证领域分别收取;</w:t>
      </w:r>
    </w:p>
    <w:p>
      <w:pPr>
        <w:pStyle w:val="10"/>
        <w:numPr>
          <w:ilvl w:val="0"/>
          <w:numId w:val="2"/>
        </w:numPr>
        <w:snapToGrid w:val="0"/>
        <w:spacing w:line="360" w:lineRule="auto"/>
        <w:ind w:firstLineChars="0"/>
        <w:rPr>
          <w:sz w:val="24"/>
          <w:szCs w:val="24"/>
        </w:rPr>
      </w:pPr>
      <w:r>
        <w:rPr>
          <w:sz w:val="24"/>
          <w:szCs w:val="24"/>
        </w:rPr>
        <w:t>年金</w:t>
      </w:r>
      <w:r>
        <w:rPr>
          <w:rFonts w:hint="eastAsia"/>
          <w:sz w:val="24"/>
          <w:szCs w:val="24"/>
        </w:rPr>
        <w:t>（</w:t>
      </w:r>
      <w:r>
        <w:rPr>
          <w:sz w:val="24"/>
          <w:szCs w:val="24"/>
        </w:rPr>
        <w:t>含标志使用费</w:t>
      </w:r>
      <w:r>
        <w:rPr>
          <w:rFonts w:hint="eastAsia"/>
          <w:sz w:val="24"/>
          <w:szCs w:val="24"/>
        </w:rPr>
        <w:t>）</w:t>
      </w:r>
      <w:r>
        <w:rPr>
          <w:sz w:val="24"/>
          <w:szCs w:val="24"/>
        </w:rPr>
        <w:t>、更换证书费。</w:t>
      </w:r>
    </w:p>
    <w:p>
      <w:pPr>
        <w:snapToGrid w:val="0"/>
        <w:rPr>
          <w:sz w:val="24"/>
          <w:szCs w:val="24"/>
        </w:rPr>
      </w:pPr>
      <w:r>
        <w:rPr>
          <w:sz w:val="24"/>
          <w:szCs w:val="24"/>
        </w:rPr>
        <w:t xml:space="preserve">3.2  </w:t>
      </w:r>
      <w:r>
        <w:rPr>
          <w:rFonts w:hint="eastAsia"/>
          <w:sz w:val="24"/>
          <w:szCs w:val="24"/>
        </w:rPr>
        <w:t>砺鼎认证</w:t>
      </w:r>
      <w:r>
        <w:rPr>
          <w:sz w:val="24"/>
          <w:szCs w:val="24"/>
        </w:rPr>
        <w:t>派出的审核人员在进行正式审核和跟踪验证时发生的食、宿、交通费，按实际的支出费用由受审核方支付。</w:t>
      </w:r>
    </w:p>
    <w:p>
      <w:pPr>
        <w:snapToGrid w:val="0"/>
        <w:rPr>
          <w:sz w:val="24"/>
          <w:szCs w:val="24"/>
        </w:rPr>
      </w:pPr>
    </w:p>
    <w:p>
      <w:pPr>
        <w:snapToGrid w:val="0"/>
        <w:spacing w:line="360" w:lineRule="auto"/>
        <w:rPr>
          <w:sz w:val="24"/>
          <w:szCs w:val="24"/>
        </w:rPr>
      </w:pPr>
      <w:r>
        <w:rPr>
          <w:sz w:val="24"/>
          <w:szCs w:val="24"/>
        </w:rPr>
        <w:t>3.3  收费标准</w:t>
      </w:r>
    </w:p>
    <w:tbl>
      <w:tblPr>
        <w:tblStyle w:val="5"/>
        <w:tblW w:w="7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956"/>
        <w:gridCol w:w="163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Merge w:val="restart"/>
            <w:vAlign w:val="center"/>
          </w:tcPr>
          <w:p>
            <w:pPr>
              <w:jc w:val="center"/>
              <w:rPr>
                <w:szCs w:val="21"/>
              </w:rPr>
            </w:pPr>
            <w:r>
              <w:rPr>
                <w:rFonts w:hint="eastAsia"/>
                <w:szCs w:val="21"/>
              </w:rPr>
              <w:t>认证类别</w:t>
            </w:r>
          </w:p>
        </w:tc>
        <w:tc>
          <w:tcPr>
            <w:tcW w:w="5751" w:type="dxa"/>
            <w:gridSpan w:val="3"/>
            <w:vAlign w:val="center"/>
          </w:tcPr>
          <w:p>
            <w:pPr>
              <w:jc w:val="center"/>
              <w:rPr>
                <w:rFonts w:hint="eastAsia"/>
                <w:szCs w:val="21"/>
              </w:rPr>
            </w:pPr>
            <w:r>
              <w:rPr>
                <w:rFonts w:hint="eastAsia"/>
                <w:szCs w:val="21"/>
              </w:rPr>
              <w:t>收费项目</w:t>
            </w:r>
            <w:r>
              <w:rPr>
                <w:rFonts w:hint="eastAsia"/>
                <w:szCs w:val="21"/>
                <w:lang w:eastAsia="zh-CN"/>
              </w:rPr>
              <w:t>（</w:t>
            </w:r>
            <w:r>
              <w:rPr>
                <w:rFonts w:hint="eastAsia"/>
                <w:szCs w:val="21"/>
                <w:lang w:val="en-US" w:eastAsia="zh-CN"/>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Merge w:val="continue"/>
            <w:vAlign w:val="center"/>
          </w:tcPr>
          <w:p>
            <w:pPr>
              <w:jc w:val="center"/>
              <w:rPr>
                <w:szCs w:val="21"/>
              </w:rPr>
            </w:pPr>
          </w:p>
        </w:tc>
        <w:tc>
          <w:tcPr>
            <w:tcW w:w="1956" w:type="dxa"/>
            <w:vAlign w:val="center"/>
          </w:tcPr>
          <w:p>
            <w:pPr>
              <w:jc w:val="center"/>
              <w:rPr>
                <w:szCs w:val="21"/>
              </w:rPr>
            </w:pPr>
            <w:r>
              <w:rPr>
                <w:rFonts w:hint="eastAsia"/>
                <w:szCs w:val="21"/>
              </w:rPr>
              <w:t>申请费</w:t>
            </w:r>
          </w:p>
        </w:tc>
        <w:tc>
          <w:tcPr>
            <w:tcW w:w="1635" w:type="dxa"/>
            <w:vAlign w:val="center"/>
          </w:tcPr>
          <w:p>
            <w:pPr>
              <w:jc w:val="center"/>
              <w:rPr>
                <w:szCs w:val="21"/>
              </w:rPr>
            </w:pPr>
            <w:r>
              <w:rPr>
                <w:rFonts w:hint="eastAsia"/>
                <w:szCs w:val="21"/>
              </w:rPr>
              <w:t>审核费</w:t>
            </w:r>
          </w:p>
        </w:tc>
        <w:tc>
          <w:tcPr>
            <w:tcW w:w="2160" w:type="dxa"/>
            <w:vAlign w:val="center"/>
          </w:tcPr>
          <w:p>
            <w:pPr>
              <w:jc w:val="center"/>
              <w:rPr>
                <w:szCs w:val="21"/>
              </w:rPr>
            </w:pPr>
            <w:r>
              <w:rPr>
                <w:rFonts w:hint="eastAsia"/>
                <w:szCs w:val="21"/>
              </w:rPr>
              <w:t>证书费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pPr>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ISO 9001</w:t>
            </w:r>
          </w:p>
        </w:tc>
        <w:tc>
          <w:tcPr>
            <w:tcW w:w="1956" w:type="dxa"/>
            <w:vAlign w:val="center"/>
          </w:tcPr>
          <w:p>
            <w:pPr>
              <w:jc w:val="center"/>
              <w:rPr>
                <w:rFonts w:hint="default" w:eastAsiaTheme="minorEastAsia"/>
                <w:b w:val="0"/>
                <w:bCs w:val="0"/>
                <w:color w:val="000000" w:themeColor="text1"/>
                <w:szCs w:val="21"/>
                <w:highlight w:val="none"/>
                <w:lang w:val="en-US" w:eastAsia="zh-CN"/>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2000</w:t>
            </w:r>
          </w:p>
        </w:tc>
        <w:tc>
          <w:tcPr>
            <w:tcW w:w="1635" w:type="dxa"/>
            <w:vAlign w:val="center"/>
          </w:tcPr>
          <w:p>
            <w:pPr>
              <w:jc w:val="center"/>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14:textFill>
                  <w14:solidFill>
                    <w14:schemeClr w14:val="tx1"/>
                  </w14:solidFill>
                </w14:textFill>
              </w:rPr>
              <w:t>2</w:t>
            </w:r>
            <w:r>
              <w:rPr>
                <w:rFonts w:hint="eastAsia"/>
                <w:b w:val="0"/>
                <w:bCs w:val="0"/>
                <w:color w:val="000000" w:themeColor="text1"/>
                <w:szCs w:val="21"/>
                <w:highlight w:val="none"/>
                <w:lang w:val="en-US" w:eastAsia="zh-CN"/>
                <w14:textFill>
                  <w14:solidFill>
                    <w14:schemeClr w14:val="tx1"/>
                  </w14:solidFill>
                </w14:textFill>
              </w:rPr>
              <w:t>5</w:t>
            </w:r>
            <w:r>
              <w:rPr>
                <w:b w:val="0"/>
                <w:bCs w:val="0"/>
                <w:color w:val="000000" w:themeColor="text1"/>
                <w:szCs w:val="21"/>
                <w:highlight w:val="none"/>
                <w14:textFill>
                  <w14:solidFill>
                    <w14:schemeClr w14:val="tx1"/>
                  </w14:solidFill>
                </w14:textFill>
              </w:rPr>
              <w:t>00</w:t>
            </w:r>
            <w:r>
              <w:rPr>
                <w:rFonts w:hint="eastAsia"/>
                <w:b w:val="0"/>
                <w:bCs w:val="0"/>
                <w:color w:val="000000" w:themeColor="text1"/>
                <w:szCs w:val="21"/>
                <w:highlight w:val="none"/>
                <w:lang w:val="en-US" w:eastAsia="zh-CN"/>
                <w14:textFill>
                  <w14:solidFill>
                    <w14:schemeClr w14:val="tx1"/>
                  </w14:solidFill>
                </w14:textFill>
              </w:rPr>
              <w:t>/</w:t>
            </w:r>
            <w:r>
              <w:rPr>
                <w:rFonts w:hint="eastAsia"/>
                <w:b w:val="0"/>
                <w:bCs w:val="0"/>
                <w:color w:val="000000" w:themeColor="text1"/>
                <w:szCs w:val="21"/>
                <w:highlight w:val="none"/>
                <w14:textFill>
                  <w14:solidFill>
                    <w14:schemeClr w14:val="tx1"/>
                  </w14:solidFill>
                </w14:textFill>
              </w:rPr>
              <w:t>审核人日</w:t>
            </w:r>
          </w:p>
        </w:tc>
        <w:tc>
          <w:tcPr>
            <w:tcW w:w="2160" w:type="dxa"/>
            <w:vAlign w:val="center"/>
          </w:tcPr>
          <w:p>
            <w:pPr>
              <w:jc w:val="center"/>
              <w:rPr>
                <w:rFonts w:hint="default" w:eastAsiaTheme="minorEastAsia"/>
                <w:b w:val="0"/>
                <w:bCs w:val="0"/>
                <w:color w:val="000000" w:themeColor="text1"/>
                <w:szCs w:val="21"/>
                <w:highlight w:val="none"/>
                <w:lang w:val="en-US" w:eastAsia="zh-CN"/>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pPr>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ISO 14001</w:t>
            </w:r>
          </w:p>
        </w:tc>
        <w:tc>
          <w:tcPr>
            <w:tcW w:w="1956" w:type="dxa"/>
            <w:vAlign w:val="center"/>
          </w:tcPr>
          <w:p>
            <w:pPr>
              <w:jc w:val="center"/>
              <w:rPr>
                <w:rFonts w:hint="default" w:asciiTheme="minorHAnsi" w:hAnsiTheme="minorHAnsi" w:eastAsiaTheme="minorEastAsia" w:cstheme="minorBidi"/>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2000</w:t>
            </w:r>
          </w:p>
        </w:tc>
        <w:tc>
          <w:tcPr>
            <w:tcW w:w="1635" w:type="dxa"/>
            <w:vAlign w:val="center"/>
          </w:tcPr>
          <w:p>
            <w:pPr>
              <w:jc w:val="center"/>
              <w:rPr>
                <w:rFonts w:asciiTheme="minorHAnsi" w:hAnsiTheme="minorHAnsi" w:eastAsiaTheme="minorEastAsia" w:cstheme="minorBidi"/>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szCs w:val="21"/>
                <w:highlight w:val="none"/>
                <w14:textFill>
                  <w14:solidFill>
                    <w14:schemeClr w14:val="tx1"/>
                  </w14:solidFill>
                </w14:textFill>
              </w:rPr>
              <w:t>2</w:t>
            </w:r>
            <w:r>
              <w:rPr>
                <w:rFonts w:hint="eastAsia"/>
                <w:b w:val="0"/>
                <w:bCs w:val="0"/>
                <w:color w:val="000000" w:themeColor="text1"/>
                <w:szCs w:val="21"/>
                <w:highlight w:val="none"/>
                <w:lang w:val="en-US" w:eastAsia="zh-CN"/>
                <w14:textFill>
                  <w14:solidFill>
                    <w14:schemeClr w14:val="tx1"/>
                  </w14:solidFill>
                </w14:textFill>
              </w:rPr>
              <w:t>5</w:t>
            </w:r>
            <w:r>
              <w:rPr>
                <w:b w:val="0"/>
                <w:bCs w:val="0"/>
                <w:color w:val="000000" w:themeColor="text1"/>
                <w:szCs w:val="21"/>
                <w:highlight w:val="none"/>
                <w14:textFill>
                  <w14:solidFill>
                    <w14:schemeClr w14:val="tx1"/>
                  </w14:solidFill>
                </w14:textFill>
              </w:rPr>
              <w:t>00</w:t>
            </w:r>
            <w:r>
              <w:rPr>
                <w:rFonts w:hint="eastAsia"/>
                <w:b w:val="0"/>
                <w:bCs w:val="0"/>
                <w:color w:val="000000" w:themeColor="text1"/>
                <w:szCs w:val="21"/>
                <w:highlight w:val="none"/>
                <w:lang w:val="en-US" w:eastAsia="zh-CN"/>
                <w14:textFill>
                  <w14:solidFill>
                    <w14:schemeClr w14:val="tx1"/>
                  </w14:solidFill>
                </w14:textFill>
              </w:rPr>
              <w:t>/</w:t>
            </w:r>
            <w:r>
              <w:rPr>
                <w:rFonts w:hint="eastAsia"/>
                <w:b w:val="0"/>
                <w:bCs w:val="0"/>
                <w:color w:val="000000" w:themeColor="text1"/>
                <w:szCs w:val="21"/>
                <w:highlight w:val="none"/>
                <w14:textFill>
                  <w14:solidFill>
                    <w14:schemeClr w14:val="tx1"/>
                  </w14:solidFill>
                </w14:textFill>
              </w:rPr>
              <w:t>审核人日</w:t>
            </w:r>
          </w:p>
        </w:tc>
        <w:tc>
          <w:tcPr>
            <w:tcW w:w="2160" w:type="dxa"/>
          </w:tcPr>
          <w:p>
            <w:pPr>
              <w:jc w:val="center"/>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jc w:val="center"/>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14:textFill>
                  <w14:solidFill>
                    <w14:schemeClr w14:val="tx1"/>
                  </w14:solidFill>
                </w14:textFill>
              </w:rPr>
              <w:t>I</w:t>
            </w:r>
            <w:r>
              <w:rPr>
                <w:b w:val="0"/>
                <w:bCs w:val="0"/>
                <w:color w:val="000000" w:themeColor="text1"/>
                <w:szCs w:val="21"/>
                <w:highlight w:val="none"/>
                <w14:textFill>
                  <w14:solidFill>
                    <w14:schemeClr w14:val="tx1"/>
                  </w14:solidFill>
                </w14:textFill>
              </w:rPr>
              <w:t>SO 45001</w:t>
            </w:r>
          </w:p>
        </w:tc>
        <w:tc>
          <w:tcPr>
            <w:tcW w:w="1956" w:type="dxa"/>
            <w:vAlign w:val="center"/>
          </w:tcPr>
          <w:p>
            <w:pPr>
              <w:jc w:val="center"/>
              <w:rPr>
                <w:rFonts w:hint="default" w:asciiTheme="minorHAnsi" w:hAnsiTheme="minorHAnsi" w:eastAsiaTheme="minorEastAsia" w:cstheme="minorBidi"/>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2000</w:t>
            </w:r>
          </w:p>
        </w:tc>
        <w:tc>
          <w:tcPr>
            <w:tcW w:w="1635" w:type="dxa"/>
            <w:vAlign w:val="center"/>
          </w:tcPr>
          <w:p>
            <w:pPr>
              <w:jc w:val="center"/>
              <w:rPr>
                <w:rFonts w:asciiTheme="minorHAnsi" w:hAnsiTheme="minorHAnsi" w:eastAsiaTheme="minorEastAsia" w:cstheme="minorBidi"/>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szCs w:val="21"/>
                <w:highlight w:val="none"/>
                <w14:textFill>
                  <w14:solidFill>
                    <w14:schemeClr w14:val="tx1"/>
                  </w14:solidFill>
                </w14:textFill>
              </w:rPr>
              <w:t>2</w:t>
            </w:r>
            <w:r>
              <w:rPr>
                <w:rFonts w:hint="eastAsia"/>
                <w:b w:val="0"/>
                <w:bCs w:val="0"/>
                <w:color w:val="000000" w:themeColor="text1"/>
                <w:szCs w:val="21"/>
                <w:highlight w:val="none"/>
                <w:lang w:val="en-US" w:eastAsia="zh-CN"/>
                <w14:textFill>
                  <w14:solidFill>
                    <w14:schemeClr w14:val="tx1"/>
                  </w14:solidFill>
                </w14:textFill>
              </w:rPr>
              <w:t>5</w:t>
            </w:r>
            <w:r>
              <w:rPr>
                <w:b w:val="0"/>
                <w:bCs w:val="0"/>
                <w:color w:val="000000" w:themeColor="text1"/>
                <w:szCs w:val="21"/>
                <w:highlight w:val="none"/>
                <w14:textFill>
                  <w14:solidFill>
                    <w14:schemeClr w14:val="tx1"/>
                  </w14:solidFill>
                </w14:textFill>
              </w:rPr>
              <w:t>00</w:t>
            </w:r>
            <w:r>
              <w:rPr>
                <w:rFonts w:hint="eastAsia"/>
                <w:b w:val="0"/>
                <w:bCs w:val="0"/>
                <w:color w:val="000000" w:themeColor="text1"/>
                <w:szCs w:val="21"/>
                <w:highlight w:val="none"/>
                <w:lang w:val="en-US" w:eastAsia="zh-CN"/>
                <w14:textFill>
                  <w14:solidFill>
                    <w14:schemeClr w14:val="tx1"/>
                  </w14:solidFill>
                </w14:textFill>
              </w:rPr>
              <w:t>/</w:t>
            </w:r>
            <w:r>
              <w:rPr>
                <w:rFonts w:hint="eastAsia"/>
                <w:b w:val="0"/>
                <w:bCs w:val="0"/>
                <w:color w:val="000000" w:themeColor="text1"/>
                <w:szCs w:val="21"/>
                <w:highlight w:val="none"/>
                <w14:textFill>
                  <w14:solidFill>
                    <w14:schemeClr w14:val="tx1"/>
                  </w14:solidFill>
                </w14:textFill>
              </w:rPr>
              <w:t>审核人日</w:t>
            </w:r>
          </w:p>
        </w:tc>
        <w:tc>
          <w:tcPr>
            <w:tcW w:w="2160" w:type="dxa"/>
          </w:tcPr>
          <w:p>
            <w:pPr>
              <w:jc w:val="center"/>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500</w:t>
            </w:r>
          </w:p>
        </w:tc>
      </w:tr>
    </w:tbl>
    <w:p>
      <w:pPr>
        <w:snapToGrid w:val="0"/>
        <w:spacing w:line="360" w:lineRule="auto"/>
        <w:rPr>
          <w:b/>
          <w:bCs/>
          <w:sz w:val="24"/>
          <w:szCs w:val="24"/>
        </w:rPr>
      </w:pPr>
    </w:p>
    <w:p>
      <w:pPr>
        <w:snapToGrid w:val="0"/>
        <w:spacing w:line="360" w:lineRule="auto"/>
        <w:rPr>
          <w:sz w:val="24"/>
          <w:szCs w:val="24"/>
        </w:rPr>
      </w:pPr>
      <w:r>
        <w:rPr>
          <w:b/>
          <w:bCs/>
          <w:sz w:val="24"/>
          <w:szCs w:val="24"/>
        </w:rPr>
        <w:t>人日数</w:t>
      </w:r>
      <w:r>
        <w:rPr>
          <w:rFonts w:hint="eastAsia"/>
          <w:sz w:val="24"/>
          <w:szCs w:val="24"/>
        </w:rPr>
        <w:t>：</w:t>
      </w:r>
      <w:r>
        <w:rPr>
          <w:sz w:val="24"/>
          <w:szCs w:val="24"/>
        </w:rPr>
        <w:t>认证审核所需的工作人天数(即审核员人数X工作天数)，初次认证基准审核人日参考表见附表。</w:t>
      </w:r>
    </w:p>
    <w:p>
      <w:r>
        <w:drawing>
          <wp:inline distT="0" distB="0" distL="0" distR="0">
            <wp:extent cx="6273800" cy="4172585"/>
            <wp:effectExtent l="0" t="0" r="0" b="0"/>
            <wp:docPr id="751324824"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24824" name="图片 1" descr="表格&#10;&#10;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288172" cy="4181784"/>
                    </a:xfrm>
                    <a:prstGeom prst="rect">
                      <a:avLst/>
                    </a:prstGeom>
                    <a:noFill/>
                    <a:ln>
                      <a:noFill/>
                    </a:ln>
                  </pic:spPr>
                </pic:pic>
              </a:graphicData>
            </a:graphic>
          </wp:inline>
        </w:drawing>
      </w:r>
    </w:p>
    <w:p/>
    <w:p>
      <w:r>
        <w:drawing>
          <wp:inline distT="0" distB="0" distL="0" distR="0">
            <wp:extent cx="6069965" cy="3589020"/>
            <wp:effectExtent l="0" t="0" r="6985" b="0"/>
            <wp:docPr id="815043461"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43461" name="图片 2" descr="表格&#10;&#10;描述已自动生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89617" cy="3600584"/>
                    </a:xfrm>
                    <a:prstGeom prst="rect">
                      <a:avLst/>
                    </a:prstGeom>
                    <a:noFill/>
                    <a:ln>
                      <a:noFill/>
                    </a:ln>
                  </pic:spPr>
                </pic:pic>
              </a:graphicData>
            </a:graphic>
          </wp:inline>
        </w:drawing>
      </w:r>
    </w:p>
    <w:p>
      <w:r>
        <w:drawing>
          <wp:inline distT="0" distB="0" distL="0" distR="0">
            <wp:extent cx="5982335" cy="3968115"/>
            <wp:effectExtent l="0" t="0" r="0" b="0"/>
            <wp:docPr id="435918610" name="图片 3" descr="手机屏幕的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18610" name="图片 3" descr="手机屏幕的截图&#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88921" cy="3972367"/>
                    </a:xfrm>
                    <a:prstGeom prst="rect">
                      <a:avLst/>
                    </a:prstGeom>
                    <a:noFill/>
                    <a:ln>
                      <a:noFill/>
                    </a:ln>
                  </pic:spPr>
                </pic:pic>
              </a:graphicData>
            </a:graphic>
          </wp:inline>
        </w:drawing>
      </w:r>
    </w:p>
    <w:p>
      <w:pPr>
        <w:snapToGrid w:val="0"/>
        <w:spacing w:line="360" w:lineRule="auto"/>
        <w:rPr>
          <w:b/>
          <w:bCs/>
          <w:sz w:val="24"/>
          <w:szCs w:val="24"/>
        </w:rPr>
      </w:pPr>
      <w:r>
        <w:rPr>
          <w:rFonts w:hint="eastAsia"/>
          <w:b/>
          <w:bCs/>
          <w:sz w:val="24"/>
          <w:szCs w:val="24"/>
        </w:rPr>
        <w:t>注：管理体系认证、服务认证</w:t>
      </w:r>
      <w:r>
        <w:rPr>
          <w:b/>
          <w:bCs/>
          <w:sz w:val="24"/>
          <w:szCs w:val="24"/>
        </w:rPr>
        <w:t>监督审核人日约为初审人日的 40%，再认证审核人日约为初审人日的 70%。</w:t>
      </w:r>
    </w:p>
    <w:p>
      <w:pPr>
        <w:snapToGrid w:val="0"/>
        <w:spacing w:line="360" w:lineRule="auto"/>
        <w:rPr>
          <w:sz w:val="24"/>
          <w:szCs w:val="24"/>
        </w:rPr>
      </w:pPr>
      <w:r>
        <w:rPr>
          <w:sz w:val="24"/>
          <w:szCs w:val="24"/>
        </w:rPr>
        <w:t>3.</w:t>
      </w:r>
      <w:r>
        <w:rPr>
          <w:rFonts w:hint="eastAsia"/>
          <w:sz w:val="24"/>
          <w:szCs w:val="24"/>
          <w:lang w:val="en-US" w:eastAsia="zh-CN"/>
        </w:rPr>
        <w:t>4</w:t>
      </w:r>
      <w:bookmarkStart w:id="0" w:name="_GoBack"/>
      <w:bookmarkEnd w:id="0"/>
      <w:r>
        <w:rPr>
          <w:sz w:val="24"/>
          <w:szCs w:val="24"/>
        </w:rPr>
        <w:t xml:space="preserve"> </w:t>
      </w:r>
      <w:r>
        <w:rPr>
          <w:rFonts w:hint="eastAsia"/>
          <w:sz w:val="24"/>
          <w:szCs w:val="24"/>
        </w:rPr>
        <w:t>砺鼎认证</w:t>
      </w:r>
      <w:r>
        <w:rPr>
          <w:sz w:val="24"/>
          <w:szCs w:val="24"/>
        </w:rPr>
        <w:t>派出的审核人员在进行正式审核和跟踪验证时发生的食、宿、交通费，按实际的支出费用由受审核方支付。</w:t>
      </w:r>
    </w:p>
    <w:p>
      <w:pPr>
        <w:snapToGrid w:val="0"/>
        <w:spacing w:line="360" w:lineRule="auto"/>
        <w:rPr>
          <w:sz w:val="24"/>
          <w:szCs w:val="24"/>
        </w:rPr>
      </w:pPr>
    </w:p>
    <w:p>
      <w:pPr>
        <w:pStyle w:val="10"/>
        <w:numPr>
          <w:ilvl w:val="0"/>
          <w:numId w:val="3"/>
        </w:numPr>
        <w:snapToGrid w:val="0"/>
        <w:spacing w:line="360" w:lineRule="auto"/>
        <w:ind w:firstLineChars="0"/>
        <w:rPr>
          <w:sz w:val="24"/>
          <w:szCs w:val="24"/>
        </w:rPr>
      </w:pPr>
      <w:r>
        <w:rPr>
          <w:sz w:val="24"/>
          <w:szCs w:val="24"/>
        </w:rPr>
        <w:t>审核人日数核算方法</w:t>
      </w:r>
    </w:p>
    <w:p>
      <w:pPr>
        <w:pStyle w:val="10"/>
        <w:numPr>
          <w:ilvl w:val="0"/>
          <w:numId w:val="4"/>
        </w:numPr>
        <w:snapToGrid w:val="0"/>
        <w:spacing w:line="360" w:lineRule="auto"/>
        <w:ind w:firstLineChars="0"/>
        <w:rPr>
          <w:rFonts w:ascii="黑体" w:hAnsi="黑体" w:eastAsia="黑体"/>
          <w:sz w:val="24"/>
          <w:szCs w:val="24"/>
        </w:rPr>
      </w:pPr>
      <w:r>
        <w:rPr>
          <w:rFonts w:ascii="黑体" w:hAnsi="黑体" w:eastAsia="黑体"/>
          <w:sz w:val="24"/>
          <w:szCs w:val="24"/>
        </w:rPr>
        <w:t>单一领域管理体系认证</w:t>
      </w:r>
      <w:r>
        <w:rPr>
          <w:rFonts w:hint="eastAsia" w:ascii="黑体" w:hAnsi="黑体" w:eastAsia="黑体"/>
          <w:sz w:val="24"/>
          <w:szCs w:val="24"/>
        </w:rPr>
        <w:t>：管理体系审核人日数与审核范围内的有效人数、审核类型</w:t>
      </w:r>
      <w:r>
        <w:rPr>
          <w:rFonts w:ascii="黑体" w:hAnsi="黑体" w:eastAsia="黑体"/>
          <w:sz w:val="24"/>
          <w:szCs w:val="24"/>
        </w:rPr>
        <w:t>(初审、监督、再认证、特殊审核等)、业务范围类型和场所数量与类型等因素相关，各管理体系所需审核人日参考附表确定。人日数包括</w:t>
      </w:r>
      <w:r>
        <w:rPr>
          <w:rFonts w:hint="eastAsia" w:ascii="黑体" w:hAnsi="黑体" w:eastAsia="黑体"/>
          <w:sz w:val="24"/>
          <w:szCs w:val="24"/>
        </w:rPr>
        <w:t>非现场审核人天和现场现场审核人天等时间</w:t>
      </w:r>
      <w:r>
        <w:rPr>
          <w:rFonts w:ascii="黑体" w:hAnsi="黑体" w:eastAsia="黑体"/>
          <w:sz w:val="24"/>
          <w:szCs w:val="24"/>
        </w:rPr>
        <w:t>;</w:t>
      </w:r>
      <w:r>
        <w:rPr>
          <w:rFonts w:hint="eastAsia" w:ascii="黑体" w:hAnsi="黑体" w:eastAsia="黑体"/>
          <w:sz w:val="24"/>
          <w:szCs w:val="24"/>
        </w:rPr>
        <w:t>不含路途</w:t>
      </w:r>
      <w:r>
        <w:rPr>
          <w:rFonts w:ascii="黑体" w:hAnsi="黑体" w:eastAsia="黑体"/>
          <w:sz w:val="24"/>
          <w:szCs w:val="24"/>
        </w:rPr>
        <w:t>时间</w:t>
      </w:r>
    </w:p>
    <w:p>
      <w:pPr>
        <w:pStyle w:val="10"/>
        <w:numPr>
          <w:ilvl w:val="0"/>
          <w:numId w:val="4"/>
        </w:numPr>
        <w:snapToGrid w:val="0"/>
        <w:spacing w:line="360" w:lineRule="auto"/>
        <w:ind w:firstLineChars="0"/>
        <w:rPr>
          <w:rFonts w:ascii="黑体" w:hAnsi="黑体" w:eastAsia="黑体"/>
          <w:sz w:val="24"/>
          <w:szCs w:val="24"/>
        </w:rPr>
      </w:pPr>
      <w:r>
        <w:rPr>
          <w:rFonts w:ascii="黑体" w:hAnsi="黑体" w:eastAsia="黑体"/>
          <w:sz w:val="24"/>
          <w:szCs w:val="24"/>
        </w:rPr>
        <w:t>多领域管理体系结合认证对于多领域管理体系结合认证，审核人日数可在单一领域管理体系审核人日数之和的基础上适当减少，通常考虑管理体系领域数量并按实际发生的审核人日数计算。</w:t>
      </w:r>
    </w:p>
    <w:p>
      <w:pPr>
        <w:pStyle w:val="10"/>
        <w:numPr>
          <w:ilvl w:val="0"/>
          <w:numId w:val="4"/>
        </w:numPr>
        <w:snapToGrid w:val="0"/>
        <w:spacing w:line="360" w:lineRule="auto"/>
        <w:ind w:firstLineChars="0"/>
        <w:rPr>
          <w:sz w:val="24"/>
          <w:szCs w:val="24"/>
        </w:rPr>
      </w:pPr>
      <w:r>
        <w:rPr>
          <w:rFonts w:hint="eastAsia" w:ascii="黑体" w:hAnsi="黑体" w:eastAsia="黑体"/>
          <w:sz w:val="24"/>
          <w:szCs w:val="24"/>
        </w:rPr>
        <w:t>获证组织已经获得砺鼎</w:t>
      </w:r>
      <w:r>
        <w:rPr>
          <w:rFonts w:ascii="黑体" w:hAnsi="黑体" w:eastAsia="黑体"/>
          <w:sz w:val="24"/>
          <w:szCs w:val="24"/>
        </w:rPr>
        <w:t>某领域认证以后提出其它认证领域的申请，应按该领域的审核人日数计算费用。</w:t>
      </w:r>
      <w:r>
        <w:rPr>
          <w:rFonts w:hint="eastAsia" w:ascii="黑体" w:hAnsi="黑体" w:eastAsia="黑体"/>
          <w:sz w:val="24"/>
          <w:szCs w:val="24"/>
        </w:rPr>
        <w:t>获证组织在已取得的管理体系认证的领域扩大范围，根据实际需增加的审核人日计算。</w:t>
      </w:r>
      <w:r>
        <w:rPr>
          <w:rFonts w:hint="eastAsia" w:eastAsiaTheme="minorHAnsi"/>
          <w:b/>
          <w:bCs/>
          <w:sz w:val="24"/>
          <w:szCs w:val="24"/>
        </w:rPr>
        <w:t xml:space="preserve"> </w:t>
      </w:r>
    </w:p>
    <w:sectPr>
      <w:pgSz w:w="11906" w:h="16838"/>
      <w:pgMar w:top="851" w:right="720"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25518"/>
    <w:multiLevelType w:val="multilevel"/>
    <w:tmpl w:val="135255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6E25470"/>
    <w:multiLevelType w:val="multilevel"/>
    <w:tmpl w:val="26E2547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4AA029E4"/>
    <w:multiLevelType w:val="multilevel"/>
    <w:tmpl w:val="4AA029E4"/>
    <w:lvl w:ilvl="0" w:tentative="0">
      <w:start w:val="4"/>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D7661AF"/>
    <w:multiLevelType w:val="multilevel"/>
    <w:tmpl w:val="4D7661A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YTI0MWE4NDJjOWUxMGM2M2MxMDY1ZTIyMGJlN2MifQ=="/>
  </w:docVars>
  <w:rsids>
    <w:rsidRoot w:val="00710487"/>
    <w:rsid w:val="00140A32"/>
    <w:rsid w:val="0029525D"/>
    <w:rsid w:val="004B5A21"/>
    <w:rsid w:val="005B110C"/>
    <w:rsid w:val="00643893"/>
    <w:rsid w:val="00710487"/>
    <w:rsid w:val="007621F9"/>
    <w:rsid w:val="00781773"/>
    <w:rsid w:val="00811181"/>
    <w:rsid w:val="00856762"/>
    <w:rsid w:val="009B018C"/>
    <w:rsid w:val="009F05EA"/>
    <w:rsid w:val="00A136F6"/>
    <w:rsid w:val="00A87372"/>
    <w:rsid w:val="00CB52F3"/>
    <w:rsid w:val="00E91E0B"/>
    <w:rsid w:val="4DC6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20"/>
    <w:rPr>
      <w:i/>
      <w:i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 w:type="character" w:customStyle="1" w:styleId="11">
    <w:name w:val="content-right_8zs40"/>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Words>
  <Characters>936</Characters>
  <Lines>7</Lines>
  <Paragraphs>2</Paragraphs>
  <TotalTime>3</TotalTime>
  <ScaleCrop>false</ScaleCrop>
  <LinksUpToDate>false</LinksUpToDate>
  <CharactersWithSpaces>1098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2023-12-11T12:49:00Z</dcterms:created>
  <dc:creator>YC 杨</dc:creator>
  <cp:lastModifiedBy>xinxinc</cp:lastModifiedBy>
  <dcterms:modified xsi:type="dcterms:W3CDTF">2023-12-26T06:40:11Z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1A548D8E70534016B3D3CD4DB3CEF0C0_12</vt:lpwstr>
  </property>
</Properties>
</file>